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21D1" w:rsidRDefault="009821D1" w:rsidP="009821D1">
      <w:proofErr w:type="gramStart"/>
      <w:r w:rsidRPr="00C67A3B">
        <w:rPr>
          <w:rFonts w:ascii="Times New Roman" w:hAnsi="Times New Roman" w:cs="Times New Roman"/>
          <w:b/>
        </w:rPr>
        <w:t>Table 1.</w:t>
      </w:r>
      <w:proofErr w:type="gramEnd"/>
      <w:r w:rsidRPr="00C67A3B">
        <w:rPr>
          <w:rFonts w:ascii="Times New Roman" w:hAnsi="Times New Roman" w:cs="Times New Roman"/>
          <w:b/>
        </w:rPr>
        <w:t xml:space="preserve">  </w:t>
      </w:r>
      <w:r>
        <w:rPr>
          <w:rFonts w:ascii="Times New Roman" w:hAnsi="Times New Roman" w:cs="Times New Roman"/>
          <w:b/>
        </w:rPr>
        <w:t>Areas of focus for</w:t>
      </w:r>
      <w:r w:rsidRPr="00C67A3B">
        <w:rPr>
          <w:rFonts w:ascii="Times New Roman" w:hAnsi="Times New Roman" w:cs="Times New Roman"/>
          <w:b/>
        </w:rPr>
        <w:t xml:space="preserve"> FY15-16 </w:t>
      </w:r>
      <w:r>
        <w:rPr>
          <w:rFonts w:ascii="Times New Roman" w:hAnsi="Times New Roman" w:cs="Times New Roman"/>
          <w:b/>
        </w:rPr>
        <w:t>S-TEK implementation</w:t>
      </w:r>
    </w:p>
    <w:tbl>
      <w:tblPr>
        <w:tblW w:w="9450" w:type="dxa"/>
        <w:tblInd w:w="108" w:type="dxa"/>
        <w:tblLayout w:type="fixed"/>
        <w:tblLook w:val="0000" w:firstRow="0" w:lastRow="0" w:firstColumn="0" w:lastColumn="0" w:noHBand="0" w:noVBand="0"/>
      </w:tblPr>
      <w:tblGrid>
        <w:gridCol w:w="5580"/>
        <w:gridCol w:w="720"/>
        <w:gridCol w:w="720"/>
        <w:gridCol w:w="810"/>
        <w:gridCol w:w="810"/>
        <w:gridCol w:w="810"/>
      </w:tblGrid>
      <w:tr w:rsidR="009821D1" w:rsidRPr="00072239" w:rsidTr="001F1010">
        <w:trPr>
          <w:trHeight w:val="1178"/>
          <w:tblHeader/>
        </w:trPr>
        <w:tc>
          <w:tcPr>
            <w:tcW w:w="5580" w:type="dxa"/>
            <w:tcBorders>
              <w:top w:val="single" w:sz="4" w:space="0" w:color="auto"/>
              <w:left w:val="single" w:sz="6" w:space="0" w:color="auto"/>
              <w:right w:val="single" w:sz="6" w:space="0" w:color="auto"/>
            </w:tcBorders>
            <w:shd w:val="solid" w:color="FFFF00" w:fill="auto"/>
          </w:tcPr>
          <w:p w:rsidR="009821D1" w:rsidRPr="00072239" w:rsidRDefault="009821D1" w:rsidP="001F1010">
            <w:pPr>
              <w:autoSpaceDE w:val="0"/>
              <w:autoSpaceDN w:val="0"/>
              <w:adjustRightInd w:val="0"/>
              <w:spacing w:after="0"/>
              <w:rPr>
                <w:rFonts w:cs="Calibri"/>
                <w:b/>
                <w:color w:val="000000"/>
                <w:sz w:val="16"/>
                <w:szCs w:val="16"/>
              </w:rPr>
            </w:pPr>
            <w:r w:rsidRPr="00072239">
              <w:rPr>
                <w:rFonts w:cs="Calibri"/>
                <w:b/>
                <w:color w:val="000000"/>
                <w:sz w:val="16"/>
                <w:szCs w:val="16"/>
              </w:rPr>
              <w:t xml:space="preserve">Yellow color shows </w:t>
            </w:r>
            <w:r>
              <w:rPr>
                <w:rFonts w:cs="Calibri"/>
                <w:b/>
                <w:color w:val="000000"/>
                <w:sz w:val="16"/>
                <w:szCs w:val="16"/>
              </w:rPr>
              <w:t>Activities unlikely to be conducted without NPLCC support</w:t>
            </w:r>
          </w:p>
        </w:tc>
        <w:tc>
          <w:tcPr>
            <w:tcW w:w="720" w:type="dxa"/>
            <w:vMerge w:val="restart"/>
            <w:tcBorders>
              <w:top w:val="single" w:sz="4" w:space="0" w:color="auto"/>
              <w:left w:val="single" w:sz="6" w:space="0" w:color="auto"/>
              <w:right w:val="single" w:sz="6" w:space="0" w:color="auto"/>
            </w:tcBorders>
            <w:textDirection w:val="btLr"/>
            <w:vAlign w:val="center"/>
          </w:tcPr>
          <w:p w:rsidR="009821D1" w:rsidRPr="00072239" w:rsidRDefault="009821D1" w:rsidP="001F1010">
            <w:pPr>
              <w:autoSpaceDE w:val="0"/>
              <w:autoSpaceDN w:val="0"/>
              <w:adjustRightInd w:val="0"/>
              <w:spacing w:after="0" w:line="240" w:lineRule="auto"/>
              <w:ind w:left="113" w:right="113"/>
              <w:rPr>
                <w:rFonts w:cs="Calibri"/>
                <w:color w:val="000000"/>
                <w:sz w:val="16"/>
                <w:szCs w:val="16"/>
              </w:rPr>
            </w:pPr>
            <w:r w:rsidRPr="00072239">
              <w:rPr>
                <w:rFonts w:cs="Calibri"/>
                <w:b/>
                <w:color w:val="000000"/>
                <w:sz w:val="16"/>
                <w:szCs w:val="16"/>
              </w:rPr>
              <w:t>Priority Topic A</w:t>
            </w:r>
            <w:r w:rsidRPr="00072239">
              <w:rPr>
                <w:rFonts w:cs="Calibri"/>
                <w:color w:val="000000"/>
                <w:sz w:val="16"/>
                <w:szCs w:val="16"/>
              </w:rPr>
              <w:t>: Effects of hydrological regime shifts on rivers, streams, &amp; riparian corridors</w:t>
            </w:r>
          </w:p>
        </w:tc>
        <w:tc>
          <w:tcPr>
            <w:tcW w:w="720" w:type="dxa"/>
            <w:vMerge w:val="restart"/>
            <w:tcBorders>
              <w:top w:val="single" w:sz="4" w:space="0" w:color="auto"/>
              <w:left w:val="single" w:sz="6" w:space="0" w:color="auto"/>
              <w:right w:val="single" w:sz="6" w:space="0" w:color="auto"/>
            </w:tcBorders>
            <w:textDirection w:val="btLr"/>
            <w:vAlign w:val="center"/>
          </w:tcPr>
          <w:p w:rsidR="009821D1" w:rsidRPr="00072239" w:rsidRDefault="009821D1" w:rsidP="001F1010">
            <w:pPr>
              <w:autoSpaceDE w:val="0"/>
              <w:autoSpaceDN w:val="0"/>
              <w:adjustRightInd w:val="0"/>
              <w:spacing w:after="0" w:line="240" w:lineRule="auto"/>
              <w:ind w:left="113" w:right="113"/>
              <w:rPr>
                <w:rFonts w:cs="Calibri"/>
                <w:color w:val="000000"/>
                <w:sz w:val="16"/>
                <w:szCs w:val="16"/>
              </w:rPr>
            </w:pPr>
            <w:r w:rsidRPr="00072239">
              <w:rPr>
                <w:rFonts w:cs="Calibri"/>
                <w:b/>
                <w:color w:val="000000"/>
                <w:sz w:val="16"/>
                <w:szCs w:val="16"/>
              </w:rPr>
              <w:t>Priority Topic B</w:t>
            </w:r>
            <w:r w:rsidRPr="00072239">
              <w:rPr>
                <w:rFonts w:cs="Calibri"/>
                <w:color w:val="000000"/>
                <w:sz w:val="16"/>
                <w:szCs w:val="16"/>
              </w:rPr>
              <w:t>:  Effects of changes in air temperature &amp; precipitation on forests</w:t>
            </w:r>
          </w:p>
        </w:tc>
        <w:tc>
          <w:tcPr>
            <w:tcW w:w="810" w:type="dxa"/>
            <w:vMerge w:val="restart"/>
            <w:tcBorders>
              <w:top w:val="single" w:sz="4" w:space="0" w:color="auto"/>
              <w:left w:val="single" w:sz="6" w:space="0" w:color="auto"/>
              <w:right w:val="single" w:sz="6" w:space="0" w:color="auto"/>
            </w:tcBorders>
            <w:textDirection w:val="btLr"/>
            <w:vAlign w:val="center"/>
          </w:tcPr>
          <w:p w:rsidR="009821D1" w:rsidRPr="00072239" w:rsidRDefault="009821D1" w:rsidP="001F1010">
            <w:pPr>
              <w:autoSpaceDE w:val="0"/>
              <w:autoSpaceDN w:val="0"/>
              <w:adjustRightInd w:val="0"/>
              <w:spacing w:after="0" w:line="240" w:lineRule="auto"/>
              <w:ind w:left="113" w:right="113"/>
              <w:rPr>
                <w:rFonts w:cs="Calibri"/>
                <w:color w:val="000000"/>
                <w:sz w:val="16"/>
                <w:szCs w:val="16"/>
              </w:rPr>
            </w:pPr>
            <w:r w:rsidRPr="00072239">
              <w:rPr>
                <w:rFonts w:cs="Calibri"/>
                <w:b/>
                <w:color w:val="000000"/>
                <w:sz w:val="16"/>
                <w:szCs w:val="16"/>
              </w:rPr>
              <w:t xml:space="preserve">Priority Topic C:  </w:t>
            </w:r>
            <w:r w:rsidRPr="00072239">
              <w:rPr>
                <w:rFonts w:cs="Calibri"/>
                <w:color w:val="000000"/>
                <w:sz w:val="16"/>
                <w:szCs w:val="16"/>
              </w:rPr>
              <w:t xml:space="preserve">Effects of changes in sea levels &amp; storms on marine shorelines, the </w:t>
            </w:r>
            <w:proofErr w:type="spellStart"/>
            <w:r w:rsidRPr="00072239">
              <w:rPr>
                <w:rFonts w:cs="Calibri"/>
                <w:color w:val="000000"/>
                <w:sz w:val="16"/>
                <w:szCs w:val="16"/>
              </w:rPr>
              <w:t>nearshore</w:t>
            </w:r>
            <w:proofErr w:type="spellEnd"/>
            <w:r w:rsidRPr="00072239">
              <w:rPr>
                <w:rFonts w:cs="Calibri"/>
                <w:color w:val="000000"/>
                <w:sz w:val="16"/>
                <w:szCs w:val="16"/>
              </w:rPr>
              <w:t>, &amp; estuaries</w:t>
            </w:r>
          </w:p>
        </w:tc>
        <w:tc>
          <w:tcPr>
            <w:tcW w:w="810" w:type="dxa"/>
            <w:vMerge w:val="restart"/>
            <w:tcBorders>
              <w:top w:val="single" w:sz="4" w:space="0" w:color="auto"/>
              <w:left w:val="single" w:sz="6" w:space="0" w:color="auto"/>
              <w:right w:val="single" w:sz="6" w:space="0" w:color="auto"/>
            </w:tcBorders>
            <w:textDirection w:val="btLr"/>
            <w:vAlign w:val="center"/>
          </w:tcPr>
          <w:p w:rsidR="009821D1" w:rsidRPr="00072239" w:rsidRDefault="009821D1" w:rsidP="001F1010">
            <w:pPr>
              <w:autoSpaceDE w:val="0"/>
              <w:autoSpaceDN w:val="0"/>
              <w:adjustRightInd w:val="0"/>
              <w:spacing w:after="0" w:line="240" w:lineRule="auto"/>
              <w:ind w:left="113" w:right="113"/>
              <w:jc w:val="both"/>
              <w:rPr>
                <w:rFonts w:cs="Calibri"/>
                <w:color w:val="000000"/>
                <w:sz w:val="16"/>
                <w:szCs w:val="16"/>
              </w:rPr>
            </w:pPr>
            <w:r w:rsidRPr="00072239">
              <w:rPr>
                <w:rFonts w:cs="Calibri"/>
                <w:b/>
                <w:color w:val="000000"/>
                <w:sz w:val="16"/>
                <w:szCs w:val="16"/>
              </w:rPr>
              <w:t>Priority Topic D</w:t>
            </w:r>
            <w:r w:rsidRPr="00072239">
              <w:rPr>
                <w:rFonts w:cs="Calibri"/>
                <w:color w:val="000000"/>
                <w:sz w:val="16"/>
                <w:szCs w:val="16"/>
              </w:rPr>
              <w:t xml:space="preserve">: Effects of changes in the hydrologic regime on anadromous fish </w:t>
            </w:r>
          </w:p>
        </w:tc>
        <w:tc>
          <w:tcPr>
            <w:tcW w:w="810" w:type="dxa"/>
            <w:vMerge w:val="restart"/>
            <w:tcBorders>
              <w:top w:val="single" w:sz="4" w:space="0" w:color="auto"/>
              <w:left w:val="single" w:sz="6" w:space="0" w:color="auto"/>
              <w:right w:val="single" w:sz="6" w:space="0" w:color="auto"/>
            </w:tcBorders>
            <w:textDirection w:val="btLr"/>
            <w:vAlign w:val="center"/>
          </w:tcPr>
          <w:p w:rsidR="009821D1" w:rsidRPr="00072239" w:rsidRDefault="009821D1" w:rsidP="001F1010">
            <w:pPr>
              <w:autoSpaceDE w:val="0"/>
              <w:autoSpaceDN w:val="0"/>
              <w:adjustRightInd w:val="0"/>
              <w:spacing w:after="0" w:line="240" w:lineRule="auto"/>
              <w:ind w:left="113" w:right="113"/>
              <w:rPr>
                <w:rFonts w:cs="Calibri"/>
                <w:color w:val="000000"/>
                <w:sz w:val="16"/>
                <w:szCs w:val="16"/>
              </w:rPr>
            </w:pPr>
            <w:r w:rsidRPr="00072239">
              <w:rPr>
                <w:rFonts w:cs="Calibri"/>
                <w:b/>
                <w:color w:val="000000"/>
                <w:sz w:val="16"/>
                <w:szCs w:val="16"/>
              </w:rPr>
              <w:t xml:space="preserve">Priority Topic E: </w:t>
            </w:r>
            <w:r w:rsidRPr="00072239">
              <w:rPr>
                <w:rFonts w:cs="Calibri"/>
                <w:color w:val="000000"/>
                <w:sz w:val="16"/>
                <w:szCs w:val="16"/>
              </w:rPr>
              <w:t>Invasive species, diseases, &amp; pests &amp; their effects on biological communities</w:t>
            </w:r>
          </w:p>
        </w:tc>
      </w:tr>
      <w:tr w:rsidR="009821D1" w:rsidRPr="00072239" w:rsidTr="001F1010">
        <w:trPr>
          <w:trHeight w:val="1069"/>
          <w:tblHeader/>
        </w:trPr>
        <w:tc>
          <w:tcPr>
            <w:tcW w:w="5580" w:type="dxa"/>
            <w:tcBorders>
              <w:top w:val="nil"/>
              <w:left w:val="single" w:sz="6" w:space="0" w:color="auto"/>
              <w:right w:val="single" w:sz="6" w:space="0" w:color="auto"/>
            </w:tcBorders>
            <w:shd w:val="clear" w:color="auto" w:fill="FFFF00"/>
          </w:tcPr>
          <w:p w:rsidR="009821D1" w:rsidRPr="00072239" w:rsidRDefault="009821D1" w:rsidP="001F1010">
            <w:pPr>
              <w:autoSpaceDE w:val="0"/>
              <w:autoSpaceDN w:val="0"/>
              <w:adjustRightInd w:val="0"/>
              <w:spacing w:after="0"/>
              <w:rPr>
                <w:rFonts w:cs="Calibri"/>
                <w:b/>
                <w:color w:val="000000"/>
                <w:sz w:val="16"/>
                <w:szCs w:val="16"/>
              </w:rPr>
            </w:pPr>
            <w:r>
              <w:rPr>
                <w:rFonts w:cs="Calibri"/>
                <w:noProof/>
                <w:color w:val="000000"/>
                <w:sz w:val="16"/>
                <w:szCs w:val="16"/>
              </w:rPr>
              <mc:AlternateContent>
                <mc:Choice Requires="wps">
                  <w:drawing>
                    <wp:anchor distT="0" distB="0" distL="114300" distR="114300" simplePos="0" relativeHeight="251666432" behindDoc="0" locked="0" layoutInCell="1" allowOverlap="1" wp14:anchorId="1AC8149D" wp14:editId="08CB8DBA">
                      <wp:simplePos x="0" y="0"/>
                      <wp:positionH relativeFrom="column">
                        <wp:posOffset>-40005</wp:posOffset>
                      </wp:positionH>
                      <wp:positionV relativeFrom="paragraph">
                        <wp:posOffset>22225</wp:posOffset>
                      </wp:positionV>
                      <wp:extent cx="3486150" cy="636422"/>
                      <wp:effectExtent l="0" t="0" r="19050" b="11430"/>
                      <wp:wrapNone/>
                      <wp:docPr id="10" name="Right Triangle 10"/>
                      <wp:cNvGraphicFramePr/>
                      <a:graphic xmlns:a="http://schemas.openxmlformats.org/drawingml/2006/main">
                        <a:graphicData uri="http://schemas.microsoft.com/office/word/2010/wordprocessingShape">
                          <wps:wsp>
                            <wps:cNvSpPr/>
                            <wps:spPr>
                              <a:xfrm flipH="1">
                                <a:off x="0" y="0"/>
                                <a:ext cx="3486150" cy="636422"/>
                              </a:xfrm>
                              <a:prstGeom prst="rtTriangle">
                                <a:avLst/>
                              </a:prstGeom>
                              <a:solidFill>
                                <a:srgbClr val="4BACC6">
                                  <a:lumMod val="60000"/>
                                  <a:lumOff val="40000"/>
                                </a:srgbClr>
                              </a:solidFill>
                              <a:ln w="25400" cap="flat" cmpd="sng" algn="ctr">
                                <a:solidFill>
                                  <a:srgbClr val="4BACC6">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 coordsize="21600,21600" o:spt="6" path="m,l,21600r21600,xe">
                      <v:stroke joinstyle="miter"/>
                      <v:path gradientshapeok="t" o:connecttype="custom" o:connectlocs="0,0;0,10800;0,21600;10800,21600;21600,21600;10800,10800" textboxrect="1800,12600,12600,19800"/>
                    </v:shapetype>
                    <v:shape id="Right Triangle 10" o:spid="_x0000_s1026" type="#_x0000_t6" style="position:absolute;margin-left:-3.15pt;margin-top:1.75pt;width:274.5pt;height:50.1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" fillcolor="#93cddd" strokecolor="#93cddd" strokeweight="2pt"/>
                  </w:pict>
                </mc:Fallback>
              </mc:AlternateContent>
            </w:r>
            <w:r>
              <w:rPr>
                <w:rFonts w:cs="Calibri"/>
                <w:b/>
                <w:color w:val="000000"/>
                <w:sz w:val="16"/>
                <w:szCs w:val="16"/>
              </w:rPr>
              <w:t>Cells with both colors highlight area where collaboration and joint</w:t>
            </w:r>
            <w:r>
              <w:rPr>
                <w:rFonts w:cs="Calibri"/>
                <w:b/>
                <w:color w:val="000000"/>
                <w:sz w:val="16"/>
                <w:szCs w:val="16"/>
              </w:rPr>
              <w:br/>
              <w:t xml:space="preserve"> project funding might be particularly beneficial</w:t>
            </w:r>
          </w:p>
          <w:p w:rsidR="009821D1" w:rsidRPr="00072239" w:rsidRDefault="009821D1" w:rsidP="001F1010">
            <w:pPr>
              <w:tabs>
                <w:tab w:val="left" w:pos="1107"/>
              </w:tabs>
              <w:ind w:left="904" w:hanging="4"/>
              <w:rPr>
                <w:rFonts w:cs="Calibri"/>
                <w:sz w:val="16"/>
                <w:szCs w:val="16"/>
              </w:rPr>
            </w:pPr>
            <w:r w:rsidRPr="00072239">
              <w:rPr>
                <w:rFonts w:cs="Calibri"/>
                <w:sz w:val="16"/>
                <w:szCs w:val="16"/>
              </w:rPr>
              <w:tab/>
            </w:r>
          </w:p>
        </w:tc>
        <w:tc>
          <w:tcPr>
            <w:tcW w:w="720" w:type="dxa"/>
            <w:vMerge/>
            <w:tcBorders>
              <w:left w:val="single" w:sz="6" w:space="0" w:color="auto"/>
              <w:right w:val="single" w:sz="6" w:space="0" w:color="auto"/>
            </w:tcBorders>
          </w:tcPr>
          <w:p w:rsidR="009821D1" w:rsidRPr="00072239" w:rsidRDefault="009821D1" w:rsidP="001F1010">
            <w:pPr>
              <w:autoSpaceDE w:val="0"/>
              <w:autoSpaceDN w:val="0"/>
              <w:adjustRightInd w:val="0"/>
              <w:spacing w:after="0" w:line="240" w:lineRule="auto"/>
              <w:jc w:val="center"/>
              <w:rPr>
                <w:rFonts w:cs="Calibri"/>
                <w:color w:val="000000"/>
                <w:sz w:val="16"/>
                <w:szCs w:val="16"/>
              </w:rPr>
            </w:pPr>
          </w:p>
        </w:tc>
        <w:tc>
          <w:tcPr>
            <w:tcW w:w="720" w:type="dxa"/>
            <w:vMerge/>
            <w:tcBorders>
              <w:left w:val="single" w:sz="6" w:space="0" w:color="auto"/>
              <w:right w:val="single" w:sz="6" w:space="0" w:color="auto"/>
            </w:tcBorders>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vMerge/>
            <w:tcBorders>
              <w:left w:val="single" w:sz="6" w:space="0" w:color="auto"/>
              <w:right w:val="single" w:sz="6" w:space="0" w:color="auto"/>
            </w:tcBorders>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vMerge/>
            <w:tcBorders>
              <w:left w:val="single" w:sz="6" w:space="0" w:color="auto"/>
              <w:right w:val="single" w:sz="6" w:space="0" w:color="auto"/>
            </w:tcBorders>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vMerge/>
            <w:tcBorders>
              <w:left w:val="single" w:sz="6" w:space="0" w:color="auto"/>
              <w:right w:val="single" w:sz="6" w:space="0" w:color="auto"/>
            </w:tcBorders>
          </w:tcPr>
          <w:p w:rsidR="009821D1" w:rsidRPr="00072239" w:rsidRDefault="009821D1" w:rsidP="001F1010">
            <w:pPr>
              <w:autoSpaceDE w:val="0"/>
              <w:autoSpaceDN w:val="0"/>
              <w:adjustRightInd w:val="0"/>
              <w:spacing w:after="0"/>
              <w:jc w:val="center"/>
              <w:rPr>
                <w:rFonts w:cs="Calibri"/>
                <w:color w:val="000000"/>
                <w:sz w:val="16"/>
                <w:szCs w:val="16"/>
              </w:rPr>
            </w:pPr>
          </w:p>
        </w:tc>
      </w:tr>
      <w:tr w:rsidR="009821D1" w:rsidRPr="00072239" w:rsidTr="001F1010">
        <w:trPr>
          <w:trHeight w:val="566"/>
        </w:trPr>
        <w:tc>
          <w:tcPr>
            <w:tcW w:w="5580" w:type="dxa"/>
            <w:tcBorders>
              <w:top w:val="single" w:sz="6" w:space="0" w:color="auto"/>
              <w:left w:val="single" w:sz="6" w:space="0" w:color="auto"/>
              <w:bottom w:val="single" w:sz="6" w:space="0" w:color="auto"/>
              <w:right w:val="single" w:sz="6" w:space="0" w:color="auto"/>
            </w:tcBorders>
          </w:tcPr>
          <w:p w:rsidR="009821D1" w:rsidRPr="00072239" w:rsidRDefault="009821D1" w:rsidP="001F1010">
            <w:pPr>
              <w:autoSpaceDE w:val="0"/>
              <w:autoSpaceDN w:val="0"/>
              <w:adjustRightInd w:val="0"/>
              <w:spacing w:after="0" w:line="240" w:lineRule="auto"/>
              <w:rPr>
                <w:rFonts w:cs="Calibri"/>
                <w:color w:val="000000"/>
                <w:sz w:val="16"/>
                <w:szCs w:val="16"/>
              </w:rPr>
            </w:pPr>
            <w:r w:rsidRPr="00CA713D">
              <w:rPr>
                <w:rFonts w:cs="Calibri"/>
                <w:color w:val="000000"/>
                <w:sz w:val="16"/>
                <w:szCs w:val="16"/>
              </w:rPr>
              <w:t xml:space="preserve">Data and information synthesis and sharing.  Identify, compile, collate and integrate existing data and information concerning climate impact data and modeling, monitoring, and monitoring networks, TEK, etc.  Focus areas include addressing special cross-border challenges; linking information and data across disciplines and habitats, and providing the information and data to decision makers in a way that makes it useful to them.  (Information and data sharing to be as desired by Tribes / First Nations for TEK).  </w:t>
            </w:r>
          </w:p>
        </w:tc>
        <w:tc>
          <w:tcPr>
            <w:tcW w:w="720" w:type="dxa"/>
            <w:tcBorders>
              <w:top w:val="single" w:sz="6" w:space="0" w:color="auto"/>
              <w:left w:val="single" w:sz="6" w:space="0" w:color="auto"/>
              <w:bottom w:val="single" w:sz="6" w:space="0" w:color="auto"/>
              <w:right w:val="single" w:sz="6" w:space="0" w:color="auto"/>
            </w:tcBorders>
            <w:shd w:val="solid" w:color="FFFF00" w:fill="auto"/>
          </w:tcPr>
          <w:p w:rsidR="009821D1" w:rsidRPr="00072239" w:rsidRDefault="009821D1" w:rsidP="001F1010">
            <w:pPr>
              <w:autoSpaceDE w:val="0"/>
              <w:autoSpaceDN w:val="0"/>
              <w:adjustRightInd w:val="0"/>
              <w:spacing w:after="0"/>
              <w:jc w:val="center"/>
              <w:rPr>
                <w:rFonts w:cs="Calibri"/>
                <w:color w:val="000000"/>
                <w:sz w:val="16"/>
                <w:szCs w:val="16"/>
              </w:rPr>
            </w:pPr>
          </w:p>
        </w:tc>
        <w:tc>
          <w:tcPr>
            <w:tcW w:w="720" w:type="dxa"/>
            <w:tcBorders>
              <w:top w:val="single" w:sz="6" w:space="0" w:color="auto"/>
              <w:left w:val="single" w:sz="6" w:space="0" w:color="auto"/>
              <w:bottom w:val="single" w:sz="6" w:space="0" w:color="auto"/>
              <w:right w:val="single" w:sz="6" w:space="0" w:color="auto"/>
            </w:tcBorders>
            <w:shd w:val="solid" w:color="FFFF00" w:fill="auto"/>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solid" w:color="FFFF00" w:fill="auto"/>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solid" w:color="FFFF00" w:fill="auto"/>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solid" w:color="FFFF00" w:fill="auto"/>
          </w:tcPr>
          <w:p w:rsidR="009821D1" w:rsidRPr="00072239" w:rsidRDefault="009821D1" w:rsidP="001F1010">
            <w:pPr>
              <w:autoSpaceDE w:val="0"/>
              <w:autoSpaceDN w:val="0"/>
              <w:adjustRightInd w:val="0"/>
              <w:spacing w:after="0"/>
              <w:jc w:val="center"/>
              <w:rPr>
                <w:rFonts w:cs="Calibri"/>
                <w:color w:val="000000"/>
                <w:sz w:val="16"/>
                <w:szCs w:val="16"/>
              </w:rPr>
            </w:pPr>
          </w:p>
        </w:tc>
      </w:tr>
      <w:tr w:rsidR="009821D1" w:rsidRPr="00072239" w:rsidTr="001F1010">
        <w:trPr>
          <w:trHeight w:val="1227"/>
        </w:trPr>
        <w:tc>
          <w:tcPr>
            <w:tcW w:w="5580" w:type="dxa"/>
            <w:tcBorders>
              <w:top w:val="single" w:sz="6" w:space="0" w:color="auto"/>
              <w:left w:val="single" w:sz="6" w:space="0" w:color="auto"/>
              <w:bottom w:val="single" w:sz="6" w:space="0" w:color="auto"/>
              <w:right w:val="single" w:sz="6" w:space="0" w:color="auto"/>
            </w:tcBorders>
          </w:tcPr>
          <w:p w:rsidR="009821D1" w:rsidRPr="00072239" w:rsidRDefault="009821D1" w:rsidP="001F1010">
            <w:pPr>
              <w:spacing w:after="0" w:line="240" w:lineRule="auto"/>
              <w:rPr>
                <w:rFonts w:ascii="Calibri" w:hAnsi="Calibri"/>
                <w:color w:val="000000"/>
                <w:sz w:val="16"/>
                <w:szCs w:val="16"/>
              </w:rPr>
            </w:pPr>
            <w:r w:rsidRPr="00072239">
              <w:rPr>
                <w:rFonts w:ascii="Calibri" w:hAnsi="Calibri"/>
                <w:color w:val="000000"/>
                <w:sz w:val="16"/>
                <w:szCs w:val="16"/>
              </w:rPr>
              <w:t xml:space="preserve">Assess vulnerability and resilience of resource(s) to projected climate change. Identify critical stressors, valued/necessary resources (including Tribal and First Nations valued resources, corridors and </w:t>
            </w:r>
            <w:proofErr w:type="spellStart"/>
            <w:r w:rsidRPr="00072239">
              <w:rPr>
                <w:rFonts w:ascii="Calibri" w:hAnsi="Calibri"/>
                <w:color w:val="000000"/>
                <w:sz w:val="16"/>
                <w:szCs w:val="16"/>
              </w:rPr>
              <w:t>refugia</w:t>
            </w:r>
            <w:proofErr w:type="spellEnd"/>
            <w:r w:rsidRPr="00072239">
              <w:rPr>
                <w:rFonts w:ascii="Calibri" w:hAnsi="Calibri"/>
                <w:color w:val="000000"/>
                <w:sz w:val="16"/>
                <w:szCs w:val="16"/>
              </w:rPr>
              <w:t>, etc.), anticipated changes, and locations of more vulnerable and less vulnerable resources.  Include consideration of the effects of multiple stressors on the resource(s)</w:t>
            </w:r>
          </w:p>
        </w:tc>
        <w:tc>
          <w:tcPr>
            <w:tcW w:w="720" w:type="dxa"/>
            <w:tcBorders>
              <w:top w:val="single" w:sz="6" w:space="0" w:color="auto"/>
              <w:left w:val="single" w:sz="6" w:space="0" w:color="auto"/>
              <w:bottom w:val="single" w:sz="6" w:space="0" w:color="auto"/>
              <w:right w:val="single" w:sz="6" w:space="0" w:color="auto"/>
            </w:tcBorders>
            <w:shd w:val="clear" w:color="auto" w:fill="auto"/>
          </w:tcPr>
          <w:p w:rsidR="009821D1" w:rsidRPr="00072239" w:rsidRDefault="009821D1" w:rsidP="001F1010">
            <w:pPr>
              <w:autoSpaceDE w:val="0"/>
              <w:autoSpaceDN w:val="0"/>
              <w:adjustRightInd w:val="0"/>
              <w:spacing w:after="0"/>
              <w:jc w:val="center"/>
              <w:rPr>
                <w:rFonts w:cs="Calibri"/>
                <w:color w:val="000000"/>
                <w:sz w:val="16"/>
                <w:szCs w:val="16"/>
              </w:rPr>
            </w:pPr>
          </w:p>
        </w:tc>
        <w:tc>
          <w:tcPr>
            <w:tcW w:w="720" w:type="dxa"/>
            <w:tcBorders>
              <w:top w:val="single" w:sz="6" w:space="0" w:color="auto"/>
              <w:left w:val="single" w:sz="6" w:space="0" w:color="auto"/>
              <w:bottom w:val="single" w:sz="6" w:space="0" w:color="auto"/>
              <w:right w:val="single" w:sz="6" w:space="0" w:color="auto"/>
            </w:tcBorders>
            <w:shd w:val="clear" w:color="auto" w:fill="FFFF00"/>
          </w:tcPr>
          <w:p w:rsidR="009821D1" w:rsidRPr="00072239" w:rsidRDefault="009821D1" w:rsidP="001F1010">
            <w:pPr>
              <w:autoSpaceDE w:val="0"/>
              <w:autoSpaceDN w:val="0"/>
              <w:adjustRightInd w:val="0"/>
              <w:spacing w:after="0"/>
              <w:jc w:val="center"/>
              <w:rPr>
                <w:rFonts w:cs="Calibri"/>
                <w:color w:val="000000"/>
                <w:sz w:val="16"/>
                <w:szCs w:val="16"/>
              </w:rPr>
            </w:pPr>
            <w:r>
              <w:rPr>
                <w:rFonts w:cs="Calibri"/>
                <w:noProof/>
                <w:color w:val="000000"/>
                <w:sz w:val="16"/>
                <w:szCs w:val="16"/>
              </w:rPr>
              <mc:AlternateContent>
                <mc:Choice Requires="wps">
                  <w:drawing>
                    <wp:anchor distT="0" distB="0" distL="114300" distR="114300" simplePos="0" relativeHeight="251659264" behindDoc="0" locked="0" layoutInCell="1" allowOverlap="1" wp14:anchorId="0408BF03" wp14:editId="5E949088">
                      <wp:simplePos x="0" y="0"/>
                      <wp:positionH relativeFrom="column">
                        <wp:posOffset>364490</wp:posOffset>
                      </wp:positionH>
                      <wp:positionV relativeFrom="paragraph">
                        <wp:posOffset>-10795</wp:posOffset>
                      </wp:positionV>
                      <wp:extent cx="514985" cy="776605"/>
                      <wp:effectExtent l="0" t="0" r="18415" b="23495"/>
                      <wp:wrapNone/>
                      <wp:docPr id="3" name="Right Triangle 3"/>
                      <wp:cNvGraphicFramePr/>
                      <a:graphic xmlns:a="http://schemas.openxmlformats.org/drawingml/2006/main">
                        <a:graphicData uri="http://schemas.microsoft.com/office/word/2010/wordprocessingShape">
                          <wps:wsp>
                            <wps:cNvSpPr/>
                            <wps:spPr>
                              <a:xfrm flipH="1">
                                <a:off x="0" y="0"/>
                                <a:ext cx="514985" cy="776605"/>
                              </a:xfrm>
                              <a:prstGeom prst="rtTriangle">
                                <a:avLst/>
                              </a:prstGeom>
                              <a:solidFill>
                                <a:srgbClr val="4BACC6">
                                  <a:lumMod val="60000"/>
                                  <a:lumOff val="40000"/>
                                </a:srgbClr>
                              </a:solidFill>
                              <a:ln w="25400" cap="flat" cmpd="sng" algn="ctr">
                                <a:solidFill>
                                  <a:srgbClr val="4BACC6">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Triangle 3" o:spid="_x0000_s1026" type="#_x0000_t6" style="position:absolute;margin-left:28.7pt;margin-top:-.85pt;width:40.55pt;height:61.1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" fillcolor="#93cddd" strokecolor="#93cddd" strokeweight="2pt"/>
                  </w:pict>
                </mc:Fallback>
              </mc:AlternateContent>
            </w:r>
            <w:r>
              <w:rPr>
                <w:rFonts w:cs="Calibri"/>
                <w:noProof/>
                <w:color w:val="000000"/>
                <w:sz w:val="16"/>
                <w:szCs w:val="16"/>
              </w:rPr>
              <mc:AlternateContent>
                <mc:Choice Requires="wps">
                  <w:drawing>
                    <wp:anchor distT="0" distB="0" distL="114300" distR="114300" simplePos="0" relativeHeight="251662336" behindDoc="0" locked="0" layoutInCell="1" allowOverlap="1" wp14:anchorId="0479A553" wp14:editId="49C8148E">
                      <wp:simplePos x="0" y="0"/>
                      <wp:positionH relativeFrom="column">
                        <wp:posOffset>-63500</wp:posOffset>
                      </wp:positionH>
                      <wp:positionV relativeFrom="paragraph">
                        <wp:posOffset>18415</wp:posOffset>
                      </wp:positionV>
                      <wp:extent cx="426720" cy="748030"/>
                      <wp:effectExtent l="0" t="0" r="11430" b="13970"/>
                      <wp:wrapNone/>
                      <wp:docPr id="6" name="Right Triangle 6"/>
                      <wp:cNvGraphicFramePr/>
                      <a:graphic xmlns:a="http://schemas.openxmlformats.org/drawingml/2006/main">
                        <a:graphicData uri="http://schemas.microsoft.com/office/word/2010/wordprocessingShape">
                          <wps:wsp>
                            <wps:cNvSpPr/>
                            <wps:spPr>
                              <a:xfrm flipH="1">
                                <a:off x="0" y="0"/>
                                <a:ext cx="426720" cy="748030"/>
                              </a:xfrm>
                              <a:prstGeom prst="rtTriangle">
                                <a:avLst/>
                              </a:prstGeom>
                              <a:solidFill>
                                <a:srgbClr val="4BACC6">
                                  <a:lumMod val="60000"/>
                                  <a:lumOff val="40000"/>
                                </a:srgbClr>
                              </a:solidFill>
                              <a:ln w="25400" cap="flat" cmpd="sng" algn="ctr">
                                <a:solidFill>
                                  <a:srgbClr val="4BACC6">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Triangle 6" o:spid="_x0000_s1026" type="#_x0000_t6" style="position:absolute;margin-left:-5pt;margin-top:1.45pt;width:33.6pt;height:58.9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" fillcolor="#93cddd" strokecolor="#93cddd" strokeweight="2pt"/>
                  </w:pict>
                </mc:Fallback>
              </mc:AlternateContent>
            </w:r>
          </w:p>
        </w:tc>
        <w:tc>
          <w:tcPr>
            <w:tcW w:w="810" w:type="dxa"/>
            <w:tcBorders>
              <w:top w:val="single" w:sz="6" w:space="0" w:color="auto"/>
              <w:left w:val="single" w:sz="6" w:space="0" w:color="auto"/>
              <w:bottom w:val="single" w:sz="6" w:space="0" w:color="auto"/>
              <w:right w:val="single" w:sz="6" w:space="0" w:color="auto"/>
            </w:tcBorders>
            <w:shd w:val="clear" w:color="auto" w:fill="FFFF00"/>
          </w:tcPr>
          <w:p w:rsidR="009821D1" w:rsidRPr="00072239" w:rsidRDefault="009821D1" w:rsidP="001F1010">
            <w:pPr>
              <w:autoSpaceDE w:val="0"/>
              <w:autoSpaceDN w:val="0"/>
              <w:adjustRightInd w:val="0"/>
              <w:spacing w:after="0"/>
              <w:jc w:val="center"/>
              <w:rPr>
                <w:rFonts w:cs="Calibri"/>
                <w:color w:val="000000"/>
                <w:sz w:val="16"/>
                <w:szCs w:val="16"/>
              </w:rPr>
            </w:pPr>
            <w:r>
              <w:rPr>
                <w:rFonts w:cs="Calibri"/>
                <w:noProof/>
                <w:color w:val="000000"/>
                <w:sz w:val="16"/>
                <w:szCs w:val="16"/>
              </w:rPr>
              <mc:AlternateContent>
                <mc:Choice Requires="wps">
                  <w:drawing>
                    <wp:anchor distT="0" distB="0" distL="114300" distR="114300" simplePos="0" relativeHeight="251661312" behindDoc="0" locked="0" layoutInCell="1" allowOverlap="1" wp14:anchorId="1BC9564B" wp14:editId="16003265">
                      <wp:simplePos x="0" y="0"/>
                      <wp:positionH relativeFrom="column">
                        <wp:posOffset>421640</wp:posOffset>
                      </wp:positionH>
                      <wp:positionV relativeFrom="paragraph">
                        <wp:posOffset>8890</wp:posOffset>
                      </wp:positionV>
                      <wp:extent cx="514985" cy="767715"/>
                      <wp:effectExtent l="0" t="0" r="18415" b="13335"/>
                      <wp:wrapNone/>
                      <wp:docPr id="5" name="Right Triangle 5"/>
                      <wp:cNvGraphicFramePr/>
                      <a:graphic xmlns:a="http://schemas.openxmlformats.org/drawingml/2006/main">
                        <a:graphicData uri="http://schemas.microsoft.com/office/word/2010/wordprocessingShape">
                          <wps:wsp>
                            <wps:cNvSpPr/>
                            <wps:spPr>
                              <a:xfrm flipH="1">
                                <a:off x="0" y="0"/>
                                <a:ext cx="514985" cy="767715"/>
                              </a:xfrm>
                              <a:prstGeom prst="rtTriangle">
                                <a:avLst/>
                              </a:prstGeom>
                              <a:solidFill>
                                <a:srgbClr val="4BACC6">
                                  <a:lumMod val="60000"/>
                                  <a:lumOff val="40000"/>
                                </a:srgbClr>
                              </a:solidFill>
                              <a:ln w="25400" cap="flat" cmpd="sng" algn="ctr">
                                <a:solidFill>
                                  <a:srgbClr val="4BACC6">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Triangle 5" o:spid="_x0000_s1026" type="#_x0000_t6" style="position:absolute;margin-left:33.2pt;margin-top:.7pt;width:40.55pt;height:60.45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" fillcolor="#93cddd" strokecolor="#93cddd" strokeweight="2pt"/>
                  </w:pict>
                </mc:Fallback>
              </mc:AlternateContent>
            </w:r>
          </w:p>
        </w:tc>
        <w:tc>
          <w:tcPr>
            <w:tcW w:w="810" w:type="dxa"/>
            <w:tcBorders>
              <w:top w:val="single" w:sz="6" w:space="0" w:color="auto"/>
              <w:left w:val="single" w:sz="6" w:space="0" w:color="auto"/>
              <w:bottom w:val="single" w:sz="6" w:space="0" w:color="auto"/>
              <w:right w:val="single" w:sz="6" w:space="0" w:color="auto"/>
            </w:tcBorders>
            <w:shd w:val="clear" w:color="auto" w:fill="FFFF00"/>
          </w:tcPr>
          <w:p w:rsidR="009821D1" w:rsidRPr="00072239" w:rsidRDefault="009821D1" w:rsidP="001F1010">
            <w:pPr>
              <w:autoSpaceDE w:val="0"/>
              <w:autoSpaceDN w:val="0"/>
              <w:adjustRightInd w:val="0"/>
              <w:spacing w:after="0"/>
              <w:jc w:val="center"/>
              <w:rPr>
                <w:rFonts w:cs="Calibri"/>
                <w:color w:val="000000"/>
                <w:sz w:val="16"/>
                <w:szCs w:val="16"/>
              </w:rPr>
            </w:pPr>
            <w:r>
              <w:rPr>
                <w:rFonts w:cs="Calibri"/>
                <w:noProof/>
                <w:color w:val="000000"/>
                <w:sz w:val="16"/>
                <w:szCs w:val="16"/>
              </w:rPr>
              <mc:AlternateContent>
                <mc:Choice Requires="wps">
                  <w:drawing>
                    <wp:anchor distT="0" distB="0" distL="114300" distR="114300" simplePos="0" relativeHeight="251660288" behindDoc="0" locked="0" layoutInCell="1" allowOverlap="1" wp14:anchorId="209A1A8B" wp14:editId="52F915C5">
                      <wp:simplePos x="0" y="0"/>
                      <wp:positionH relativeFrom="column">
                        <wp:posOffset>424180</wp:posOffset>
                      </wp:positionH>
                      <wp:positionV relativeFrom="paragraph">
                        <wp:posOffset>8890</wp:posOffset>
                      </wp:positionV>
                      <wp:extent cx="504190" cy="758190"/>
                      <wp:effectExtent l="0" t="0" r="10160" b="22860"/>
                      <wp:wrapNone/>
                      <wp:docPr id="4" name="Right Triangle 4"/>
                      <wp:cNvGraphicFramePr/>
                      <a:graphic xmlns:a="http://schemas.openxmlformats.org/drawingml/2006/main">
                        <a:graphicData uri="http://schemas.microsoft.com/office/word/2010/wordprocessingShape">
                          <wps:wsp>
                            <wps:cNvSpPr/>
                            <wps:spPr>
                              <a:xfrm flipH="1">
                                <a:off x="0" y="0"/>
                                <a:ext cx="504190" cy="758190"/>
                              </a:xfrm>
                              <a:prstGeom prst="rtTriangle">
                                <a:avLst/>
                              </a:prstGeom>
                              <a:solidFill>
                                <a:srgbClr val="4BACC6">
                                  <a:lumMod val="60000"/>
                                  <a:lumOff val="40000"/>
                                </a:srgbClr>
                              </a:solidFill>
                              <a:ln w="25400" cap="flat" cmpd="sng" algn="ctr">
                                <a:solidFill>
                                  <a:srgbClr val="4BACC6">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Right Triangle 4" o:spid="_x0000_s1026" type="#_x0000_t6" style="position:absolute;margin-left:33.4pt;margin-top:.7pt;width:39.7pt;height:59.7pt;flip:x;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" fillcolor="#93cddd" strokecolor="#93cddd" strokeweight="2pt"/>
                  </w:pict>
                </mc:Fallback>
              </mc:AlternateContent>
            </w:r>
          </w:p>
        </w:tc>
        <w:tc>
          <w:tcPr>
            <w:tcW w:w="810" w:type="dxa"/>
            <w:tcBorders>
              <w:top w:val="single" w:sz="6" w:space="0" w:color="auto"/>
              <w:left w:val="single" w:sz="6" w:space="0" w:color="auto"/>
              <w:bottom w:val="single" w:sz="6" w:space="0" w:color="auto"/>
              <w:right w:val="single" w:sz="6" w:space="0" w:color="auto"/>
            </w:tcBorders>
            <w:shd w:val="clear" w:color="auto" w:fill="FFFF00"/>
          </w:tcPr>
          <w:p w:rsidR="009821D1" w:rsidRPr="00072239" w:rsidRDefault="009821D1" w:rsidP="001F1010">
            <w:pPr>
              <w:autoSpaceDE w:val="0"/>
              <w:autoSpaceDN w:val="0"/>
              <w:adjustRightInd w:val="0"/>
              <w:spacing w:after="0"/>
              <w:jc w:val="center"/>
              <w:rPr>
                <w:rFonts w:cs="Calibri"/>
                <w:color w:val="000000"/>
                <w:sz w:val="16"/>
                <w:szCs w:val="16"/>
              </w:rPr>
            </w:pPr>
          </w:p>
        </w:tc>
      </w:tr>
      <w:tr w:rsidR="009821D1" w:rsidRPr="00072239" w:rsidTr="001F1010">
        <w:trPr>
          <w:trHeight w:val="984"/>
        </w:trPr>
        <w:tc>
          <w:tcPr>
            <w:tcW w:w="5580" w:type="dxa"/>
            <w:tcBorders>
              <w:top w:val="single" w:sz="6" w:space="0" w:color="auto"/>
              <w:left w:val="single" w:sz="6" w:space="0" w:color="auto"/>
              <w:bottom w:val="single" w:sz="6" w:space="0" w:color="auto"/>
              <w:right w:val="single" w:sz="6" w:space="0" w:color="auto"/>
            </w:tcBorders>
          </w:tcPr>
          <w:p w:rsidR="009821D1" w:rsidRPr="00072239" w:rsidRDefault="009821D1" w:rsidP="001F1010">
            <w:pPr>
              <w:spacing w:after="0" w:line="240" w:lineRule="auto"/>
              <w:rPr>
                <w:rFonts w:ascii="Calibri" w:hAnsi="Calibri"/>
                <w:color w:val="000000"/>
                <w:sz w:val="16"/>
                <w:szCs w:val="16"/>
              </w:rPr>
            </w:pPr>
            <w:r w:rsidRPr="00777013">
              <w:rPr>
                <w:rFonts w:cs="Calibri"/>
                <w:noProof/>
                <w:color w:val="000000"/>
                <w:sz w:val="16"/>
                <w:szCs w:val="16"/>
              </w:rPr>
              <mc:AlternateContent>
                <mc:Choice Requires="wps">
                  <w:drawing>
                    <wp:anchor distT="0" distB="0" distL="114300" distR="114300" simplePos="0" relativeHeight="251668480" behindDoc="0" locked="0" layoutInCell="1" allowOverlap="1" wp14:anchorId="560F1E17" wp14:editId="1D0244B4">
                      <wp:simplePos x="0" y="0"/>
                      <wp:positionH relativeFrom="column">
                        <wp:posOffset>3453765</wp:posOffset>
                      </wp:positionH>
                      <wp:positionV relativeFrom="paragraph">
                        <wp:posOffset>618490</wp:posOffset>
                      </wp:positionV>
                      <wp:extent cx="484505" cy="532130"/>
                      <wp:effectExtent l="0" t="0" r="10795" b="20320"/>
                      <wp:wrapNone/>
                      <wp:docPr id="1" name="Right Triangle 1"/>
                      <wp:cNvGraphicFramePr/>
                      <a:graphic xmlns:a="http://schemas.openxmlformats.org/drawingml/2006/main">
                        <a:graphicData uri="http://schemas.microsoft.com/office/word/2010/wordprocessingShape">
                          <wps:wsp>
                            <wps:cNvSpPr/>
                            <wps:spPr>
                              <a:xfrm flipH="1">
                                <a:off x="0" y="0"/>
                                <a:ext cx="484505" cy="532130"/>
                              </a:xfrm>
                              <a:prstGeom prst="rtTriangle">
                                <a:avLst/>
                              </a:prstGeom>
                              <a:solidFill>
                                <a:srgbClr val="4BACC6">
                                  <a:lumMod val="60000"/>
                                  <a:lumOff val="40000"/>
                                </a:srgbClr>
                              </a:solidFill>
                              <a:ln w="25400" cap="flat" cmpd="sng" algn="ctr">
                                <a:solidFill>
                                  <a:srgbClr val="4BACC6">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Triangle 1" o:spid="_x0000_s1026" type="#_x0000_t6" style="position:absolute;margin-left:271.95pt;margin-top:48.7pt;width:38.15pt;height:41.9pt;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" fillcolor="#93cddd" strokecolor="#93cddd" strokeweight="2pt"/>
                  </w:pict>
                </mc:Fallback>
              </mc:AlternateContent>
            </w:r>
            <w:r w:rsidRPr="00072239">
              <w:rPr>
                <w:rFonts w:ascii="Calibri" w:hAnsi="Calibri"/>
                <w:color w:val="000000"/>
                <w:sz w:val="16"/>
                <w:szCs w:val="16"/>
              </w:rPr>
              <w:t xml:space="preserve">Further clarify decision-maker needs for S-TEK information. Convene managers, scientists, and tribes to discuss specific sub-topics; review and summarize existing planning documents, etc.  Identify management decisions and actions, share information on existing data, models, etc.; identify gaps and common needs </w:t>
            </w:r>
          </w:p>
        </w:tc>
        <w:tc>
          <w:tcPr>
            <w:tcW w:w="720" w:type="dxa"/>
            <w:tcBorders>
              <w:top w:val="single" w:sz="6" w:space="0" w:color="auto"/>
              <w:left w:val="single" w:sz="6" w:space="0" w:color="auto"/>
              <w:bottom w:val="single" w:sz="6" w:space="0" w:color="auto"/>
              <w:right w:val="single" w:sz="6" w:space="0" w:color="auto"/>
            </w:tcBorders>
            <w:shd w:val="clear" w:color="auto" w:fill="FFFF00"/>
          </w:tcPr>
          <w:p w:rsidR="009821D1" w:rsidRPr="009821D1" w:rsidRDefault="009821D1" w:rsidP="001F1010">
            <w:pPr>
              <w:autoSpaceDE w:val="0"/>
              <w:autoSpaceDN w:val="0"/>
              <w:adjustRightInd w:val="0"/>
              <w:spacing w:after="0"/>
              <w:jc w:val="center"/>
              <w:rPr>
                <w:rFonts w:cs="Calibri"/>
                <w:color w:val="000000"/>
                <w:sz w:val="16"/>
                <w:szCs w:val="16"/>
                <w:highlight w:val="yellow"/>
              </w:rPr>
            </w:pPr>
          </w:p>
        </w:tc>
        <w:tc>
          <w:tcPr>
            <w:tcW w:w="720" w:type="dxa"/>
            <w:tcBorders>
              <w:top w:val="single" w:sz="6" w:space="0" w:color="auto"/>
              <w:left w:val="single" w:sz="6" w:space="0" w:color="auto"/>
              <w:bottom w:val="single" w:sz="6" w:space="0" w:color="auto"/>
              <w:right w:val="single" w:sz="6" w:space="0" w:color="auto"/>
            </w:tcBorders>
            <w:shd w:val="solid" w:color="FFFF00" w:fill="auto"/>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solid" w:color="FFFF00" w:fill="auto"/>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clear" w:color="auto" w:fill="auto"/>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solid" w:color="FFFF00" w:fill="auto"/>
          </w:tcPr>
          <w:p w:rsidR="009821D1" w:rsidRPr="00072239" w:rsidRDefault="009821D1" w:rsidP="001F1010">
            <w:pPr>
              <w:autoSpaceDE w:val="0"/>
              <w:autoSpaceDN w:val="0"/>
              <w:adjustRightInd w:val="0"/>
              <w:spacing w:after="0"/>
              <w:jc w:val="center"/>
              <w:rPr>
                <w:rFonts w:cs="Calibri"/>
                <w:color w:val="000000"/>
                <w:sz w:val="16"/>
                <w:szCs w:val="16"/>
              </w:rPr>
            </w:pPr>
          </w:p>
        </w:tc>
        <w:bookmarkStart w:id="0" w:name="_GoBack"/>
        <w:bookmarkEnd w:id="0"/>
      </w:tr>
      <w:tr w:rsidR="009821D1" w:rsidRPr="00072239" w:rsidTr="009821D1">
        <w:trPr>
          <w:trHeight w:val="840"/>
        </w:trPr>
        <w:tc>
          <w:tcPr>
            <w:tcW w:w="5580" w:type="dxa"/>
            <w:tcBorders>
              <w:top w:val="single" w:sz="6" w:space="0" w:color="auto"/>
              <w:left w:val="single" w:sz="6" w:space="0" w:color="auto"/>
              <w:bottom w:val="single" w:sz="6" w:space="0" w:color="auto"/>
              <w:right w:val="single" w:sz="6" w:space="0" w:color="auto"/>
            </w:tcBorders>
          </w:tcPr>
          <w:p w:rsidR="009821D1" w:rsidRPr="00072239" w:rsidRDefault="009821D1" w:rsidP="001F1010">
            <w:pPr>
              <w:spacing w:after="0" w:line="240" w:lineRule="auto"/>
              <w:rPr>
                <w:rFonts w:ascii="Calibri" w:hAnsi="Calibri"/>
                <w:color w:val="000000"/>
                <w:sz w:val="16"/>
                <w:szCs w:val="16"/>
              </w:rPr>
            </w:pPr>
            <w:r w:rsidRPr="00072239">
              <w:rPr>
                <w:rFonts w:ascii="Calibri" w:hAnsi="Calibri"/>
                <w:color w:val="000000"/>
                <w:sz w:val="16"/>
                <w:szCs w:val="16"/>
              </w:rPr>
              <w:t>Identify indicators of change: focal indicators, processes or thresholds that can serve as indicators of change, can be used to track climate change impacts, and can be used to assess the effectiveness of management actions (to indicate where changes in management actions may be necessary).</w:t>
            </w:r>
          </w:p>
        </w:tc>
        <w:tc>
          <w:tcPr>
            <w:tcW w:w="720" w:type="dxa"/>
            <w:tcBorders>
              <w:top w:val="single" w:sz="6" w:space="0" w:color="auto"/>
              <w:left w:val="single" w:sz="6" w:space="0" w:color="auto"/>
              <w:bottom w:val="single" w:sz="6" w:space="0" w:color="auto"/>
              <w:right w:val="single" w:sz="6" w:space="0" w:color="auto"/>
            </w:tcBorders>
            <w:shd w:val="clear" w:color="auto" w:fill="FFFF00"/>
          </w:tcPr>
          <w:p w:rsidR="009821D1" w:rsidRPr="009821D1" w:rsidRDefault="009821D1" w:rsidP="001F1010">
            <w:pPr>
              <w:autoSpaceDE w:val="0"/>
              <w:autoSpaceDN w:val="0"/>
              <w:adjustRightInd w:val="0"/>
              <w:spacing w:after="0"/>
              <w:jc w:val="center"/>
              <w:rPr>
                <w:rFonts w:cs="Calibri"/>
                <w:color w:val="000000"/>
                <w:sz w:val="16"/>
                <w:szCs w:val="16"/>
              </w:rPr>
            </w:pPr>
          </w:p>
        </w:tc>
        <w:tc>
          <w:tcPr>
            <w:tcW w:w="720" w:type="dxa"/>
            <w:tcBorders>
              <w:top w:val="single" w:sz="6" w:space="0" w:color="auto"/>
              <w:left w:val="single" w:sz="6" w:space="0" w:color="auto"/>
              <w:bottom w:val="single" w:sz="6" w:space="0" w:color="auto"/>
              <w:right w:val="single" w:sz="6" w:space="0" w:color="auto"/>
            </w:tcBorders>
            <w:shd w:val="clear" w:color="auto" w:fill="auto"/>
          </w:tcPr>
          <w:p w:rsidR="009821D1" w:rsidRPr="009821D1" w:rsidRDefault="009821D1" w:rsidP="001F1010">
            <w:pPr>
              <w:autoSpaceDE w:val="0"/>
              <w:autoSpaceDN w:val="0"/>
              <w:adjustRightInd w:val="0"/>
              <w:spacing w:after="0"/>
              <w:jc w:val="center"/>
              <w:rPr>
                <w:rFonts w:cs="Calibri"/>
                <w:color w:val="000000"/>
                <w:sz w:val="16"/>
                <w:szCs w:val="16"/>
                <w:highlight w:val="yellow"/>
              </w:rPr>
            </w:pPr>
          </w:p>
        </w:tc>
        <w:tc>
          <w:tcPr>
            <w:tcW w:w="810" w:type="dxa"/>
            <w:tcBorders>
              <w:top w:val="single" w:sz="6" w:space="0" w:color="auto"/>
              <w:left w:val="single" w:sz="6" w:space="0" w:color="auto"/>
              <w:bottom w:val="single" w:sz="6" w:space="0" w:color="auto"/>
              <w:right w:val="single" w:sz="6" w:space="0" w:color="auto"/>
            </w:tcBorders>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clear" w:color="auto" w:fill="FFFF00"/>
          </w:tcPr>
          <w:p w:rsidR="009821D1" w:rsidRPr="00072239" w:rsidRDefault="009821D1" w:rsidP="001F1010">
            <w:pPr>
              <w:autoSpaceDE w:val="0"/>
              <w:autoSpaceDN w:val="0"/>
              <w:adjustRightInd w:val="0"/>
              <w:spacing w:after="0"/>
              <w:jc w:val="center"/>
              <w:rPr>
                <w:rFonts w:cs="Calibri"/>
                <w:color w:val="000000"/>
                <w:sz w:val="16"/>
                <w:szCs w:val="16"/>
              </w:rPr>
            </w:pPr>
            <w:r w:rsidRPr="00777013">
              <w:rPr>
                <w:rFonts w:cs="Calibri"/>
                <w:noProof/>
                <w:color w:val="000000"/>
                <w:sz w:val="16"/>
                <w:szCs w:val="16"/>
              </w:rPr>
              <mc:AlternateContent>
                <mc:Choice Requires="wps">
                  <w:drawing>
                    <wp:anchor distT="0" distB="0" distL="114300" distR="114300" simplePos="0" relativeHeight="251663360" behindDoc="0" locked="0" layoutInCell="1" allowOverlap="1" wp14:anchorId="6E6BF233" wp14:editId="3E3775C7">
                      <wp:simplePos x="0" y="0"/>
                      <wp:positionH relativeFrom="column">
                        <wp:posOffset>424288</wp:posOffset>
                      </wp:positionH>
                      <wp:positionV relativeFrom="paragraph">
                        <wp:posOffset>-14051</wp:posOffset>
                      </wp:positionV>
                      <wp:extent cx="505460" cy="534873"/>
                      <wp:effectExtent l="0" t="0" r="27940" b="17780"/>
                      <wp:wrapNone/>
                      <wp:docPr id="7" name="Right Triangle 7"/>
                      <wp:cNvGraphicFramePr/>
                      <a:graphic xmlns:a="http://schemas.openxmlformats.org/drawingml/2006/main">
                        <a:graphicData uri="http://schemas.microsoft.com/office/word/2010/wordprocessingShape">
                          <wps:wsp>
                            <wps:cNvSpPr/>
                            <wps:spPr>
                              <a:xfrm flipH="1">
                                <a:off x="0" y="0"/>
                                <a:ext cx="505460" cy="534873"/>
                              </a:xfrm>
                              <a:prstGeom prst="rtTriangle">
                                <a:avLst/>
                              </a:prstGeom>
                              <a:solidFill>
                                <a:srgbClr val="4BACC6">
                                  <a:lumMod val="60000"/>
                                  <a:lumOff val="40000"/>
                                </a:srgbClr>
                              </a:solidFill>
                              <a:ln w="25400" cap="flat" cmpd="sng" algn="ctr">
                                <a:solidFill>
                                  <a:srgbClr val="4BACC6">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Triangle 7" o:spid="_x0000_s1026" type="#_x0000_t6" style="position:absolute;margin-left:33.4pt;margin-top:-1.1pt;width:39.8pt;height:42.1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" fillcolor="#93cddd" strokecolor="#93cddd" strokeweight="2pt"/>
                  </w:pict>
                </mc:Fallback>
              </mc:AlternateContent>
            </w:r>
          </w:p>
        </w:tc>
        <w:tc>
          <w:tcPr>
            <w:tcW w:w="810" w:type="dxa"/>
            <w:tcBorders>
              <w:top w:val="single" w:sz="6" w:space="0" w:color="auto"/>
              <w:left w:val="single" w:sz="6" w:space="0" w:color="auto"/>
              <w:bottom w:val="single" w:sz="6" w:space="0" w:color="auto"/>
              <w:right w:val="single" w:sz="6" w:space="0" w:color="auto"/>
            </w:tcBorders>
            <w:shd w:val="clear" w:color="auto" w:fill="FFFF00"/>
          </w:tcPr>
          <w:p w:rsidR="009821D1" w:rsidRPr="00072239" w:rsidRDefault="009821D1" w:rsidP="001F1010">
            <w:pPr>
              <w:autoSpaceDE w:val="0"/>
              <w:autoSpaceDN w:val="0"/>
              <w:adjustRightInd w:val="0"/>
              <w:spacing w:after="0"/>
              <w:jc w:val="center"/>
              <w:rPr>
                <w:rFonts w:cs="Calibri"/>
                <w:color w:val="000000"/>
                <w:sz w:val="16"/>
                <w:szCs w:val="16"/>
              </w:rPr>
            </w:pPr>
          </w:p>
        </w:tc>
      </w:tr>
      <w:tr w:rsidR="009821D1" w:rsidRPr="00072239" w:rsidTr="001F1010">
        <w:trPr>
          <w:trHeight w:val="507"/>
        </w:trPr>
        <w:tc>
          <w:tcPr>
            <w:tcW w:w="5580" w:type="dxa"/>
            <w:tcBorders>
              <w:top w:val="single" w:sz="6" w:space="0" w:color="auto"/>
              <w:left w:val="single" w:sz="6" w:space="0" w:color="auto"/>
              <w:bottom w:val="single" w:sz="6" w:space="0" w:color="auto"/>
              <w:right w:val="single" w:sz="6" w:space="0" w:color="auto"/>
            </w:tcBorders>
            <w:shd w:val="clear" w:color="auto" w:fill="auto"/>
          </w:tcPr>
          <w:p w:rsidR="009821D1" w:rsidRPr="00072239" w:rsidRDefault="009821D1" w:rsidP="001F1010">
            <w:pPr>
              <w:spacing w:after="0" w:line="240" w:lineRule="auto"/>
              <w:rPr>
                <w:rFonts w:ascii="Calibri" w:hAnsi="Calibri"/>
                <w:color w:val="000000"/>
                <w:sz w:val="16"/>
                <w:szCs w:val="16"/>
              </w:rPr>
            </w:pPr>
            <w:r w:rsidRPr="00072239">
              <w:rPr>
                <w:rFonts w:ascii="Calibri" w:hAnsi="Calibri"/>
                <w:color w:val="000000"/>
                <w:sz w:val="16"/>
                <w:szCs w:val="16"/>
              </w:rPr>
              <w:t>Conduct, support, or facilitate landscape conservation planning exercise(s) in a particular geography or region</w:t>
            </w:r>
          </w:p>
        </w:tc>
        <w:tc>
          <w:tcPr>
            <w:tcW w:w="720" w:type="dxa"/>
            <w:tcBorders>
              <w:top w:val="single" w:sz="6" w:space="0" w:color="auto"/>
              <w:left w:val="single" w:sz="6" w:space="0" w:color="auto"/>
              <w:bottom w:val="single" w:sz="6" w:space="0" w:color="auto"/>
              <w:right w:val="single" w:sz="6" w:space="0" w:color="auto"/>
            </w:tcBorders>
          </w:tcPr>
          <w:p w:rsidR="009821D1" w:rsidRPr="00072239" w:rsidRDefault="009821D1" w:rsidP="001F1010">
            <w:pPr>
              <w:autoSpaceDE w:val="0"/>
              <w:autoSpaceDN w:val="0"/>
              <w:adjustRightInd w:val="0"/>
              <w:spacing w:after="0"/>
              <w:jc w:val="center"/>
              <w:rPr>
                <w:rFonts w:cs="Calibri"/>
                <w:color w:val="000000"/>
                <w:sz w:val="16"/>
                <w:szCs w:val="16"/>
              </w:rPr>
            </w:pPr>
          </w:p>
        </w:tc>
        <w:tc>
          <w:tcPr>
            <w:tcW w:w="720" w:type="dxa"/>
            <w:tcBorders>
              <w:top w:val="single" w:sz="6" w:space="0" w:color="auto"/>
              <w:left w:val="single" w:sz="6" w:space="0" w:color="auto"/>
              <w:bottom w:val="single" w:sz="6" w:space="0" w:color="auto"/>
              <w:right w:val="single" w:sz="6" w:space="0" w:color="auto"/>
            </w:tcBorders>
            <w:shd w:val="clear" w:color="auto" w:fill="auto"/>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clear" w:color="auto" w:fill="FFFF00"/>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tcPr>
          <w:p w:rsidR="009821D1" w:rsidRPr="00072239" w:rsidRDefault="009821D1" w:rsidP="001F1010">
            <w:pPr>
              <w:autoSpaceDE w:val="0"/>
              <w:autoSpaceDN w:val="0"/>
              <w:adjustRightInd w:val="0"/>
              <w:spacing w:after="0"/>
              <w:jc w:val="center"/>
              <w:rPr>
                <w:rFonts w:cs="Calibri"/>
                <w:color w:val="000000"/>
                <w:sz w:val="16"/>
                <w:szCs w:val="16"/>
              </w:rPr>
            </w:pPr>
          </w:p>
        </w:tc>
      </w:tr>
      <w:tr w:rsidR="009821D1" w:rsidRPr="00072239" w:rsidTr="001F1010">
        <w:trPr>
          <w:trHeight w:val="581"/>
        </w:trPr>
        <w:tc>
          <w:tcPr>
            <w:tcW w:w="5580" w:type="dxa"/>
            <w:tcBorders>
              <w:top w:val="single" w:sz="6" w:space="0" w:color="auto"/>
              <w:left w:val="single" w:sz="6" w:space="0" w:color="auto"/>
              <w:bottom w:val="single" w:sz="6" w:space="0" w:color="auto"/>
              <w:right w:val="single" w:sz="6" w:space="0" w:color="auto"/>
            </w:tcBorders>
          </w:tcPr>
          <w:p w:rsidR="009821D1" w:rsidRPr="00072239" w:rsidRDefault="009821D1" w:rsidP="001F1010">
            <w:pPr>
              <w:spacing w:after="0" w:line="240" w:lineRule="auto"/>
              <w:rPr>
                <w:rFonts w:ascii="Calibri" w:hAnsi="Calibri"/>
                <w:color w:val="000000"/>
                <w:sz w:val="16"/>
                <w:szCs w:val="16"/>
              </w:rPr>
            </w:pPr>
            <w:r w:rsidRPr="00072239">
              <w:rPr>
                <w:rFonts w:ascii="Calibri" w:hAnsi="Calibri"/>
                <w:color w:val="000000"/>
                <w:sz w:val="16"/>
                <w:szCs w:val="16"/>
              </w:rPr>
              <w:t>Develop tools and/or assist partner entities in applying existing tools to identify and inform managers of high priority conservation and/or restoration targets (species, locations, etc.).</w:t>
            </w:r>
          </w:p>
        </w:tc>
        <w:tc>
          <w:tcPr>
            <w:tcW w:w="720" w:type="dxa"/>
            <w:tcBorders>
              <w:top w:val="single" w:sz="6" w:space="0" w:color="auto"/>
              <w:left w:val="single" w:sz="6" w:space="0" w:color="auto"/>
              <w:bottom w:val="single" w:sz="6" w:space="0" w:color="auto"/>
              <w:right w:val="single" w:sz="6" w:space="0" w:color="auto"/>
            </w:tcBorders>
          </w:tcPr>
          <w:p w:rsidR="009821D1" w:rsidRPr="00072239" w:rsidRDefault="009821D1" w:rsidP="001F1010">
            <w:pPr>
              <w:autoSpaceDE w:val="0"/>
              <w:autoSpaceDN w:val="0"/>
              <w:adjustRightInd w:val="0"/>
              <w:spacing w:after="0"/>
              <w:jc w:val="center"/>
              <w:rPr>
                <w:rFonts w:cs="Calibri"/>
                <w:color w:val="000000"/>
                <w:sz w:val="16"/>
                <w:szCs w:val="16"/>
              </w:rPr>
            </w:pPr>
          </w:p>
        </w:tc>
        <w:tc>
          <w:tcPr>
            <w:tcW w:w="720" w:type="dxa"/>
            <w:tcBorders>
              <w:top w:val="single" w:sz="6" w:space="0" w:color="auto"/>
              <w:left w:val="single" w:sz="6" w:space="0" w:color="auto"/>
              <w:bottom w:val="single" w:sz="6" w:space="0" w:color="auto"/>
              <w:right w:val="single" w:sz="6" w:space="0" w:color="auto"/>
            </w:tcBorders>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clear" w:color="auto" w:fill="FFFF00"/>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clear" w:color="auto" w:fill="FFFF00"/>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tcPr>
          <w:p w:rsidR="009821D1" w:rsidRPr="00072239" w:rsidRDefault="009821D1" w:rsidP="001F1010">
            <w:pPr>
              <w:autoSpaceDE w:val="0"/>
              <w:autoSpaceDN w:val="0"/>
              <w:adjustRightInd w:val="0"/>
              <w:spacing w:after="0"/>
              <w:jc w:val="center"/>
              <w:rPr>
                <w:rFonts w:cs="Calibri"/>
                <w:color w:val="000000"/>
                <w:sz w:val="16"/>
                <w:szCs w:val="16"/>
              </w:rPr>
            </w:pPr>
          </w:p>
        </w:tc>
      </w:tr>
      <w:tr w:rsidR="009821D1" w:rsidRPr="00072239" w:rsidTr="001F1010">
        <w:trPr>
          <w:trHeight w:val="581"/>
        </w:trPr>
        <w:tc>
          <w:tcPr>
            <w:tcW w:w="5580" w:type="dxa"/>
            <w:tcBorders>
              <w:top w:val="single" w:sz="6" w:space="0" w:color="auto"/>
              <w:left w:val="single" w:sz="6" w:space="0" w:color="auto"/>
              <w:bottom w:val="single" w:sz="6" w:space="0" w:color="auto"/>
              <w:right w:val="single" w:sz="6" w:space="0" w:color="auto"/>
            </w:tcBorders>
          </w:tcPr>
          <w:p w:rsidR="009821D1" w:rsidRPr="00072239" w:rsidRDefault="009821D1" w:rsidP="001F1010">
            <w:pPr>
              <w:spacing w:after="0" w:line="240" w:lineRule="auto"/>
              <w:rPr>
                <w:rFonts w:ascii="Calibri" w:hAnsi="Calibri"/>
                <w:color w:val="000000"/>
                <w:sz w:val="16"/>
                <w:szCs w:val="16"/>
              </w:rPr>
            </w:pPr>
            <w:r w:rsidRPr="00072239">
              <w:rPr>
                <w:rFonts w:ascii="Calibri" w:hAnsi="Calibri"/>
                <w:color w:val="000000"/>
                <w:sz w:val="16"/>
                <w:szCs w:val="16"/>
              </w:rPr>
              <w:t xml:space="preserve">Conduct or support adaptation planning exercises to assist management decisions related to specific sub-topics, considering uncertainties in future climate / climate impacts.  Identify how </w:t>
            </w:r>
            <w:proofErr w:type="spellStart"/>
            <w:r w:rsidRPr="00072239">
              <w:rPr>
                <w:rFonts w:ascii="Calibri" w:hAnsi="Calibri"/>
                <w:color w:val="000000"/>
                <w:sz w:val="16"/>
                <w:szCs w:val="16"/>
              </w:rPr>
              <w:t>restoratation</w:t>
            </w:r>
            <w:proofErr w:type="spellEnd"/>
            <w:r w:rsidRPr="00072239">
              <w:rPr>
                <w:rFonts w:ascii="Calibri" w:hAnsi="Calibri"/>
                <w:color w:val="000000"/>
                <w:sz w:val="16"/>
                <w:szCs w:val="16"/>
              </w:rPr>
              <w:t xml:space="preserve"> </w:t>
            </w:r>
            <w:r>
              <w:rPr>
                <w:rFonts w:ascii="Calibri" w:hAnsi="Calibri"/>
                <w:color w:val="000000"/>
                <w:sz w:val="16"/>
                <w:szCs w:val="16"/>
              </w:rPr>
              <w:t>activities and strategy develop</w:t>
            </w:r>
            <w:r w:rsidRPr="00072239">
              <w:rPr>
                <w:rFonts w:ascii="Calibri" w:hAnsi="Calibri"/>
                <w:color w:val="000000"/>
                <w:sz w:val="16"/>
                <w:szCs w:val="16"/>
              </w:rPr>
              <w:t>ment can/should be modified to account for climate-related changes (E.g., scenario planning exercises, triage analyses, contingency planning, etc.)</w:t>
            </w:r>
          </w:p>
        </w:tc>
        <w:tc>
          <w:tcPr>
            <w:tcW w:w="720" w:type="dxa"/>
            <w:tcBorders>
              <w:top w:val="single" w:sz="6" w:space="0" w:color="auto"/>
              <w:left w:val="single" w:sz="6" w:space="0" w:color="auto"/>
              <w:bottom w:val="single" w:sz="6" w:space="0" w:color="auto"/>
              <w:right w:val="single" w:sz="6" w:space="0" w:color="auto"/>
            </w:tcBorders>
            <w:shd w:val="clear" w:color="auto" w:fill="auto"/>
          </w:tcPr>
          <w:p w:rsidR="009821D1" w:rsidRPr="00072239" w:rsidRDefault="009821D1" w:rsidP="001F1010">
            <w:pPr>
              <w:autoSpaceDE w:val="0"/>
              <w:autoSpaceDN w:val="0"/>
              <w:adjustRightInd w:val="0"/>
              <w:spacing w:after="0"/>
              <w:jc w:val="center"/>
              <w:rPr>
                <w:rFonts w:cs="Calibri"/>
                <w:color w:val="000000"/>
                <w:sz w:val="16"/>
                <w:szCs w:val="16"/>
              </w:rPr>
            </w:pPr>
          </w:p>
        </w:tc>
        <w:tc>
          <w:tcPr>
            <w:tcW w:w="720" w:type="dxa"/>
            <w:tcBorders>
              <w:top w:val="single" w:sz="6" w:space="0" w:color="auto"/>
              <w:left w:val="single" w:sz="6" w:space="0" w:color="auto"/>
              <w:bottom w:val="single" w:sz="6" w:space="0" w:color="auto"/>
              <w:right w:val="single" w:sz="6" w:space="0" w:color="auto"/>
            </w:tcBorders>
            <w:shd w:val="clear" w:color="auto" w:fill="FFFF00"/>
          </w:tcPr>
          <w:p w:rsidR="009821D1" w:rsidRPr="00072239" w:rsidRDefault="009821D1" w:rsidP="001F1010">
            <w:pPr>
              <w:autoSpaceDE w:val="0"/>
              <w:autoSpaceDN w:val="0"/>
              <w:adjustRightInd w:val="0"/>
              <w:spacing w:after="0"/>
              <w:jc w:val="center"/>
              <w:rPr>
                <w:rFonts w:cs="Calibri"/>
                <w:color w:val="000000"/>
                <w:sz w:val="16"/>
                <w:szCs w:val="16"/>
              </w:rPr>
            </w:pPr>
            <w:r w:rsidRPr="00777013">
              <w:rPr>
                <w:rFonts w:cs="Calibri"/>
                <w:noProof/>
                <w:color w:val="000000"/>
                <w:sz w:val="16"/>
                <w:szCs w:val="16"/>
              </w:rPr>
              <mc:AlternateContent>
                <mc:Choice Requires="wps">
                  <w:drawing>
                    <wp:anchor distT="0" distB="0" distL="114300" distR="114300" simplePos="0" relativeHeight="251665408" behindDoc="0" locked="0" layoutInCell="1" allowOverlap="1" wp14:anchorId="11E212C3" wp14:editId="28F684A1">
                      <wp:simplePos x="0" y="0"/>
                      <wp:positionH relativeFrom="column">
                        <wp:posOffset>-64770</wp:posOffset>
                      </wp:positionH>
                      <wp:positionV relativeFrom="paragraph">
                        <wp:posOffset>1473</wp:posOffset>
                      </wp:positionV>
                      <wp:extent cx="426720" cy="592455"/>
                      <wp:effectExtent l="0" t="0" r="11430" b="17145"/>
                      <wp:wrapNone/>
                      <wp:docPr id="9" name="Right Triangle 9"/>
                      <wp:cNvGraphicFramePr/>
                      <a:graphic xmlns:a="http://schemas.openxmlformats.org/drawingml/2006/main">
                        <a:graphicData uri="http://schemas.microsoft.com/office/word/2010/wordprocessingShape">
                          <wps:wsp>
                            <wps:cNvSpPr/>
                            <wps:spPr>
                              <a:xfrm flipH="1">
                                <a:off x="0" y="0"/>
                                <a:ext cx="426720" cy="592455"/>
                              </a:xfrm>
                              <a:prstGeom prst="rtTriangle">
                                <a:avLst/>
                              </a:prstGeom>
                              <a:solidFill>
                                <a:srgbClr val="4BACC6">
                                  <a:lumMod val="60000"/>
                                  <a:lumOff val="40000"/>
                                </a:srgbClr>
                              </a:solidFill>
                              <a:ln w="25400" cap="flat" cmpd="sng" algn="ctr">
                                <a:solidFill>
                                  <a:srgbClr val="4BACC6">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Triangle 9" o:spid="_x0000_s1026" type="#_x0000_t6" style="position:absolute;margin-left:-5.1pt;margin-top:.1pt;width:33.6pt;height:46.65pt;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" fillcolor="#93cddd" strokecolor="#93cddd" strokeweight="2pt"/>
                  </w:pict>
                </mc:Fallback>
              </mc:AlternateContent>
            </w:r>
          </w:p>
        </w:tc>
        <w:tc>
          <w:tcPr>
            <w:tcW w:w="810" w:type="dxa"/>
            <w:tcBorders>
              <w:top w:val="single" w:sz="6" w:space="0" w:color="auto"/>
              <w:left w:val="single" w:sz="6" w:space="0" w:color="auto"/>
              <w:bottom w:val="single" w:sz="6" w:space="0" w:color="auto"/>
              <w:right w:val="single" w:sz="6" w:space="0" w:color="auto"/>
            </w:tcBorders>
            <w:shd w:val="clear" w:color="auto" w:fill="auto"/>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clear" w:color="auto" w:fill="auto"/>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tcPr>
          <w:p w:rsidR="009821D1" w:rsidRPr="00072239" w:rsidRDefault="009821D1" w:rsidP="001F1010">
            <w:pPr>
              <w:autoSpaceDE w:val="0"/>
              <w:autoSpaceDN w:val="0"/>
              <w:adjustRightInd w:val="0"/>
              <w:spacing w:after="0"/>
              <w:jc w:val="center"/>
              <w:rPr>
                <w:rFonts w:cs="Calibri"/>
                <w:color w:val="000000"/>
                <w:sz w:val="16"/>
                <w:szCs w:val="16"/>
              </w:rPr>
            </w:pPr>
          </w:p>
        </w:tc>
      </w:tr>
      <w:tr w:rsidR="009821D1" w:rsidRPr="00072239" w:rsidTr="001F1010">
        <w:trPr>
          <w:trHeight w:val="581"/>
        </w:trPr>
        <w:tc>
          <w:tcPr>
            <w:tcW w:w="5580" w:type="dxa"/>
            <w:tcBorders>
              <w:top w:val="single" w:sz="6" w:space="0" w:color="auto"/>
              <w:left w:val="single" w:sz="6" w:space="0" w:color="auto"/>
              <w:bottom w:val="single" w:sz="6" w:space="0" w:color="auto"/>
              <w:right w:val="single" w:sz="6" w:space="0" w:color="auto"/>
            </w:tcBorders>
          </w:tcPr>
          <w:p w:rsidR="009821D1" w:rsidRPr="00072239" w:rsidRDefault="009821D1" w:rsidP="001F1010">
            <w:pPr>
              <w:spacing w:after="0" w:line="240" w:lineRule="auto"/>
              <w:rPr>
                <w:rFonts w:ascii="Calibri" w:hAnsi="Calibri"/>
                <w:color w:val="000000"/>
                <w:sz w:val="16"/>
                <w:szCs w:val="16"/>
              </w:rPr>
            </w:pPr>
            <w:r w:rsidRPr="00587987">
              <w:rPr>
                <w:rFonts w:ascii="Calibri" w:hAnsi="Calibri"/>
                <w:color w:val="000000"/>
                <w:sz w:val="16"/>
                <w:szCs w:val="16"/>
              </w:rPr>
              <w:t>Conduct or support stakeholder outreach by the NPLCC or by NPLCC partners.  Goals of such outreach activities could include: communicating information on projected impacts to interested stakeholders; supporting with local community planning by conveying information on local impacts and on the availability of adaptation and mitigation actions, etc.</w:t>
            </w:r>
            <w:r>
              <w:rPr>
                <w:rFonts w:ascii="Calibri" w:hAnsi="Calibri"/>
                <w:color w:val="000000"/>
                <w:sz w:val="16"/>
                <w:szCs w:val="16"/>
              </w:rPr>
              <w:t xml:space="preserve"> </w:t>
            </w:r>
            <w:r w:rsidRPr="00587987">
              <w:rPr>
                <w:rFonts w:ascii="Calibri" w:hAnsi="Calibri"/>
                <w:color w:val="000000"/>
                <w:sz w:val="16"/>
                <w:szCs w:val="16"/>
              </w:rPr>
              <w:t>Could include workshops, meetings, or other approaches.</w:t>
            </w:r>
          </w:p>
        </w:tc>
        <w:tc>
          <w:tcPr>
            <w:tcW w:w="720" w:type="dxa"/>
            <w:tcBorders>
              <w:top w:val="single" w:sz="6" w:space="0" w:color="auto"/>
              <w:left w:val="single" w:sz="6" w:space="0" w:color="auto"/>
              <w:bottom w:val="single" w:sz="6" w:space="0" w:color="auto"/>
              <w:right w:val="single" w:sz="6" w:space="0" w:color="auto"/>
            </w:tcBorders>
          </w:tcPr>
          <w:p w:rsidR="009821D1" w:rsidRPr="00072239" w:rsidRDefault="009821D1" w:rsidP="001F1010">
            <w:pPr>
              <w:autoSpaceDE w:val="0"/>
              <w:autoSpaceDN w:val="0"/>
              <w:adjustRightInd w:val="0"/>
              <w:spacing w:after="0"/>
              <w:jc w:val="center"/>
              <w:rPr>
                <w:rFonts w:cs="Calibri"/>
                <w:color w:val="000000"/>
                <w:sz w:val="16"/>
                <w:szCs w:val="16"/>
              </w:rPr>
            </w:pPr>
          </w:p>
        </w:tc>
        <w:tc>
          <w:tcPr>
            <w:tcW w:w="720" w:type="dxa"/>
            <w:tcBorders>
              <w:top w:val="single" w:sz="6" w:space="0" w:color="auto"/>
              <w:left w:val="single" w:sz="6" w:space="0" w:color="auto"/>
              <w:bottom w:val="single" w:sz="6" w:space="0" w:color="auto"/>
              <w:right w:val="single" w:sz="6" w:space="0" w:color="auto"/>
            </w:tcBorders>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clear" w:color="auto" w:fill="auto"/>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clear" w:color="auto" w:fill="auto"/>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clear" w:color="auto" w:fill="FFFF00"/>
          </w:tcPr>
          <w:p w:rsidR="009821D1" w:rsidRPr="00072239" w:rsidRDefault="009821D1" w:rsidP="001F1010">
            <w:pPr>
              <w:autoSpaceDE w:val="0"/>
              <w:autoSpaceDN w:val="0"/>
              <w:adjustRightInd w:val="0"/>
              <w:spacing w:after="0"/>
              <w:jc w:val="center"/>
              <w:rPr>
                <w:rFonts w:cs="Calibri"/>
                <w:color w:val="000000"/>
                <w:sz w:val="16"/>
                <w:szCs w:val="16"/>
              </w:rPr>
            </w:pPr>
          </w:p>
        </w:tc>
      </w:tr>
      <w:tr w:rsidR="009821D1" w:rsidRPr="00072239" w:rsidTr="001F1010">
        <w:trPr>
          <w:trHeight w:val="581"/>
        </w:trPr>
        <w:tc>
          <w:tcPr>
            <w:tcW w:w="5580" w:type="dxa"/>
            <w:tcBorders>
              <w:top w:val="single" w:sz="6" w:space="0" w:color="auto"/>
              <w:left w:val="single" w:sz="6" w:space="0" w:color="auto"/>
              <w:bottom w:val="single" w:sz="6" w:space="0" w:color="auto"/>
              <w:right w:val="single" w:sz="6" w:space="0" w:color="auto"/>
            </w:tcBorders>
          </w:tcPr>
          <w:p w:rsidR="009821D1" w:rsidRPr="00072239" w:rsidRDefault="009821D1" w:rsidP="001F1010">
            <w:pPr>
              <w:spacing w:after="0" w:line="240" w:lineRule="auto"/>
              <w:rPr>
                <w:rFonts w:ascii="Calibri" w:hAnsi="Calibri"/>
                <w:color w:val="000000"/>
                <w:sz w:val="16"/>
                <w:szCs w:val="16"/>
              </w:rPr>
            </w:pPr>
            <w:r w:rsidRPr="00072239">
              <w:rPr>
                <w:rFonts w:ascii="Calibri" w:hAnsi="Calibri"/>
                <w:color w:val="000000"/>
                <w:sz w:val="16"/>
                <w:szCs w:val="16"/>
              </w:rPr>
              <w:t>Improve information on how climate change will affect linkages between ecological and human resources (including tribal and First Nations subsistence activities)</w:t>
            </w:r>
          </w:p>
        </w:tc>
        <w:tc>
          <w:tcPr>
            <w:tcW w:w="720" w:type="dxa"/>
            <w:tcBorders>
              <w:top w:val="single" w:sz="6" w:space="0" w:color="auto"/>
              <w:left w:val="single" w:sz="6" w:space="0" w:color="auto"/>
              <w:bottom w:val="single" w:sz="6" w:space="0" w:color="auto"/>
              <w:right w:val="single" w:sz="6" w:space="0" w:color="auto"/>
            </w:tcBorders>
          </w:tcPr>
          <w:p w:rsidR="009821D1" w:rsidRPr="00072239" w:rsidRDefault="009821D1" w:rsidP="001F1010">
            <w:pPr>
              <w:autoSpaceDE w:val="0"/>
              <w:autoSpaceDN w:val="0"/>
              <w:adjustRightInd w:val="0"/>
              <w:spacing w:after="0"/>
              <w:jc w:val="center"/>
              <w:rPr>
                <w:rFonts w:cs="Calibri"/>
                <w:color w:val="000000"/>
                <w:sz w:val="16"/>
                <w:szCs w:val="16"/>
              </w:rPr>
            </w:pPr>
          </w:p>
        </w:tc>
        <w:tc>
          <w:tcPr>
            <w:tcW w:w="720" w:type="dxa"/>
            <w:tcBorders>
              <w:top w:val="single" w:sz="6" w:space="0" w:color="auto"/>
              <w:left w:val="single" w:sz="6" w:space="0" w:color="auto"/>
              <w:bottom w:val="single" w:sz="6" w:space="0" w:color="auto"/>
              <w:right w:val="single" w:sz="6" w:space="0" w:color="auto"/>
            </w:tcBorders>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clear" w:color="auto" w:fill="auto"/>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clear" w:color="auto" w:fill="FFFF00"/>
          </w:tcPr>
          <w:p w:rsidR="009821D1" w:rsidRPr="00072239" w:rsidRDefault="009821D1" w:rsidP="001F101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tcPr>
          <w:p w:rsidR="009821D1" w:rsidRPr="00072239" w:rsidRDefault="009821D1" w:rsidP="001F1010">
            <w:pPr>
              <w:autoSpaceDE w:val="0"/>
              <w:autoSpaceDN w:val="0"/>
              <w:adjustRightInd w:val="0"/>
              <w:spacing w:after="0"/>
              <w:jc w:val="center"/>
              <w:rPr>
                <w:rFonts w:cs="Calibri"/>
                <w:color w:val="000000"/>
                <w:sz w:val="16"/>
                <w:szCs w:val="16"/>
              </w:rPr>
            </w:pPr>
          </w:p>
        </w:tc>
      </w:tr>
    </w:tbl>
    <w:p w:rsidR="009821D1" w:rsidRDefault="009821D1" w:rsidP="009821D1">
      <w:pPr>
        <w:ind w:left="360"/>
      </w:pPr>
    </w:p>
    <w:p w:rsidR="00E73E56" w:rsidRDefault="00E73E56"/>
    <w:sectPr w:rsidR="00E73E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21D1"/>
    <w:rsid w:val="009821D1"/>
    <w:rsid w:val="00E73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21D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21D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530</Words>
  <Characters>3024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U.S. Fish &amp; Wildlife Service</Company>
  <LinksUpToDate>false</LinksUpToDate>
  <CharactersWithSpaces>3547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Mahaffy, Mary</dc:creator>
  <cp:lastModifiedBy>Mahaffy, Mary</cp:lastModifiedBy>
  <cp:revision>1</cp:revision>
  <dcterms:created xsi:type="dcterms:W3CDTF">2014-09-29T22:29:00Z</dcterms:created>
  <dcterms:modified xsi:type="dcterms:W3CDTF">2014-09-29T22:33:00Z</dcterms:modified>
</cp:coreProperties>
</file>